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0" w:right="0" w:firstLine="0"/>
        <w:jc w:val="center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učešća zaposlenih u ukupnom broju stanovnika u odabranim gradovima i opštinama Jugozapadne Srbije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učešća zaposlenih u ukupnom broju stanovnika predstavlja ključan pokazatelj ekonomske aktivnosti, nivoa zaposlenosti i održivosti lokalnih zajednica. Ovaj pokazatelj nije samo mera stepena angažovanja stanovništva na formalnom tržištu rada, već i 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efleksija socio-ekonomskih uslova, demografskih trendova i strukture lokalnih ekonomija. Njegova važnost proizilazi iz direktne povezanosti sa održivošću društvenih sistema, poput penzionog i zdravstvenog osiguranja, kao i sa ekonomskim potencijalom područ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ja.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Odabran je upravo ovaj pokazatelj jer omogućava identifikaciju ključnih izazova u oblasti zapošljavanja, kao što su:</w:t>
      </w:r>
      <w:r/>
    </w:p>
    <w:p>
      <w:pPr>
        <w:pStyle w:val="1036"/>
        <w:numPr>
          <w:ilvl w:val="0"/>
          <w:numId w:val="6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nivo formalne zaposlenosti: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Problem nedovoljnog uključivanja stanovništva na tržište rada, posebno u ruralnijim sredinama.</w:t>
      </w:r>
      <w:r/>
    </w:p>
    <w:p>
      <w:pPr>
        <w:pStyle w:val="1036"/>
        <w:numPr>
          <w:ilvl w:val="0"/>
          <w:numId w:val="6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neravnopravnost u zapošljavanju: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Razlike u učešću muškaraca i žena među zaposlenima, koje ukazuju na potrebu za rodno osetljivim politikama zapošljavanja.</w:t>
      </w:r>
      <w:r/>
    </w:p>
    <w:p>
      <w:pPr>
        <w:pStyle w:val="1036"/>
        <w:numPr>
          <w:ilvl w:val="0"/>
          <w:numId w:val="6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Razlike u regionalnom razvoju: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Veliki dispariteti između urbanih centara i manjih opština, koji utiču na ravnomernost ekonomskog razvoja.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 potrebe ove analize, Gradovi Novi Pazar, Kraljevo i Čačak posmatrani su odvojeno od opština Tutin, Sjenica, Nova Varoš, Priboj, Prijepolje i Raška zbog specifičnih razlika u njihovoj veličini, strukturi ekonomije i socio-demografskim karakteristikama.</w:t>
      </w:r>
      <w:r/>
    </w:p>
    <w:p>
      <w:pPr>
        <w:pStyle w:val="1036"/>
        <w:numPr>
          <w:ilvl w:val="0"/>
          <w:numId w:val="73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Urbanizacija i veličina populacije: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Novi Pazar, Kraljevo i Čačak su veći urbani centri sa razvijenijom infrastrukturom i raznovrsnijom ekonomijom, što ih razlikuje od manjih i ruralnijih opština. Ovi gradovi pružaju bolje mogućnosti za formalno zapošljavanje i imaju širu bazu industr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ijskih i uslužnih sektora.</w:t>
      </w:r>
      <w:r/>
    </w:p>
    <w:p>
      <w:pPr>
        <w:pStyle w:val="1036"/>
        <w:numPr>
          <w:ilvl w:val="0"/>
          <w:numId w:val="73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Socio-ekonomski uslovi: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manjim opštinama poput Tutina, Sjenice i Nove Varoši, veće je oslanjanje na neformalnu ekonomiju, poljoprivredu i transfere iz dijaspore, što rezultira nižim udelom formalno zaposlenih. Ove opštine se suočavaju sa dodatnim izazovima, poput depopulacije 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nedovoljno razvijene lokalne privrede.</w:t>
      </w:r>
      <w:r/>
    </w:p>
    <w:p>
      <w:pPr>
        <w:pStyle w:val="1036"/>
        <w:numPr>
          <w:ilvl w:val="0"/>
          <w:numId w:val="73"/>
        </w:numPr>
        <w:ind w:right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razlike: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i manje opštine imaju različite izazove u oblasti zaposlenosti. Dok su gradovi suočeni sa izazovima rodne ravnopravnosti i potrebom za modernizacijom privrede, manje opštine često pate od nedostatka investicija, odliva mladih i ograničenih prilika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za zapošljavanje u formalnom sektoru.</w:t>
      </w:r>
      <w:r/>
    </w:p>
    <w:p>
      <w:pPr>
        <w:pStyle w:val="1036"/>
        <w:numPr>
          <w:ilvl w:val="0"/>
          <w:numId w:val="73"/>
        </w:numPr>
        <w:ind w:right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Demografske karakteristike: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Manje opštine imaju izraženiju stopu migracija i prirodni pad stanovništva, dok gradovi poput Novog Pazara, Kraljeva i Čačka pokazuju stabilniju demografsku dinamiku. To utiče i na strukturu radne snage i na mogućnosti zapošljavanja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istraživanja koje je podrazumevalo prikupljanje podataka iz evidencije Republičnog zavoda za statistiku, sveske: 17_stanovnistvo-prema-ekonomskoj-aktivnosti-starosti-i-polu koja se nalazi na linku </w:t>
      </w:r>
      <w:hyperlink r:id="rId11" w:tooltip="https://popis2022.stat.gov.rs/sr-Latn/popisni-podaci-eksel-tabele/" w:history="1">
        <w:r>
          <w:rPr>
            <w:rStyle w:val="1014"/>
            <w:rFonts w:ascii="Times New Roman" w:hAnsi="Times New Roman" w:eastAsia="Times New Roman" w:cs="Times New Roman"/>
            <w:sz w:val="24"/>
          </w:rPr>
          <w:t xml:space="preserve">https://popis2022.stat.gov.rs/sr-Latn/popisni-poda</w:t>
        </w:r>
        <w:r>
          <w:rPr>
            <w:rStyle w:val="1014"/>
            <w:rFonts w:ascii="Times New Roman" w:hAnsi="Times New Roman" w:eastAsia="Times New Roman" w:cs="Times New Roman"/>
            <w:sz w:val="24"/>
          </w:rPr>
          <w:t xml:space="preserve">ci-eksel-tabele/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 gde su i ostale tabele sa podacima iz popisa 2022. godine došli smo do seldećih cifara: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tbl>
      <w:tblPr>
        <w:tblStyle w:val="888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2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Novi Pazar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Kraljevo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Čačak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Tutin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Sjenica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Nova Varoš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Prijepolje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Priboj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Raška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Asana" w:hAnsi="Asana" w:eastAsia="Arial" w:cs="Asana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106720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110196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105612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33053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24083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13507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32214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23514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21498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Zaposleni Svega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19985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39518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39939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4194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4922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3688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8636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6396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7109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Zaposleni muškarci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11699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21502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21122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2819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4829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3629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3941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hd w:val="clear" w:color="d9d9d9" w:themeColor="background1" w:themeShade="D9" w:fill="d9d9d9" w:themeFill="background1" w:themeFillShade="D9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Zaposleni žene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8286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18016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18817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1383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1585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3807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2767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3168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contextualSpacing w:val="0"/>
        <w:jc w:val="center"/>
        <w:spacing w:before="0" w:after="0"/>
        <w:rPr>
          <w:highlight w:val="none"/>
        </w:rPr>
        <w:suppressLineNumbers w:val="0"/>
      </w:pPr>
      <w:r>
        <w:rPr>
          <w:highlight w:val="none"/>
        </w:rPr>
        <w:t xml:space="preserve">Tabela: Ukupan broj stanovnika i broj stanovnika koji obavljaju delatnost u ukupnom broju i odvojeno po polu</w:t>
      </w:r>
      <w:r>
        <w:rPr>
          <w:highlight w:val="none"/>
        </w:rPr>
      </w:r>
      <w:r/>
    </w:p>
    <w:p>
      <w:pPr>
        <w:contextualSpacing w:val="0"/>
        <w:jc w:val="both"/>
        <w:spacing w:before="0" w:after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contextualSpacing w:val="0"/>
        <w:jc w:val="center"/>
        <w:spacing w:before="0" w:after="0"/>
        <w:rPr>
          <w:highlight w:val="none"/>
        </w:rPr>
        <w:suppressLineNumbers w:val="0"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293065" cy="3272878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966209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5293064" cy="3272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16.8pt;height:257.7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contextualSpacing w:val="0"/>
        <w:jc w:val="both"/>
        <w:spacing w:before="0" w:after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 Analiza stanovništva koje obavlja delatnost: Novi Pazar, Kraljevo i Čačak</w:t>
      </w:r>
      <w:r/>
    </w:p>
    <w:p>
      <w:r/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podataka o ukupnom broju stanovnika i zaposlenih muškaraca, žena i ukupno zaposlenih u gradovima Novi Pazar, Kraljevo i Čačak, analizirani su demografski i ekonomski trendovi. U fokusu su udeo zaposlenih u ukupnom stanovništvu, rodna struktura za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poslenih i međugradska poređenja.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osnovnih podataka</w:t>
      </w:r>
      <w:r/>
    </w:p>
    <w:tbl>
      <w:tblPr>
        <w:tblStyle w:val="88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40"/>
        <w:gridCol w:w="1650"/>
        <w:gridCol w:w="1860"/>
        <w:gridCol w:w="2025"/>
        <w:gridCol w:w="151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ukupno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muškarci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žene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106.720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19.985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11.699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8.286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110.196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39.518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21.502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18.016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105.612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39.939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21.122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18.817</w:t>
            </w:r>
            <w:r/>
          </w:p>
        </w:tc>
      </w:tr>
    </w:tbl>
    <w:p>
      <w:pPr>
        <w:pStyle w:val="860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Udeo zaposlenih u ukupnom stanovništvu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osnov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 podataka Republičkog zavoda za statitiku nije moguće utvrditi broj nezaposlenih niti njihovu strukturu ali je moguće izračunati udeo zaposlenih u ukubnom broju stanovnika jer je to jasna mera ekonomske aktivnosti i potencijala za stabilan ekonomski rast.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zaposlenih računamo po sledećoj formuli: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zaposlenih (%) = (Broj zaposlenih / Ukupan broj stanovnika)×100</w:t>
      </w:r>
      <w:r/>
    </w:p>
    <w:tbl>
      <w:tblPr>
        <w:tblStyle w:val="88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40"/>
        <w:gridCol w:w="2310"/>
        <w:gridCol w:w="2490"/>
        <w:gridCol w:w="198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ukupno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muškarci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žene (%)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18,73%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10,97%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7,76%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35,88%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19,51%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16,37%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37,83%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20,00%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17,82%</w:t>
            </w:r>
            <w:r/>
          </w:p>
        </w:tc>
      </w:tr>
    </w:tbl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 w:val="0"/>
        <w:jc w:val="center"/>
        <w:spacing w:before="0" w:after="0"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64031" cy="3007593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116623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4864031" cy="3007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83.0pt;height:236.8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Novi Pazar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7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značajno niži udeo zaposlenih u ukupnom stanovništvu (18,73%) u poređenju sa Kraljevom i Čačkom. Ovo ukazuje na nižu zaposlenost i veću zavisnost stanovništva od drugih izvora prihoda (npr. poljoprivreda, neformalni rad, transferi iz dijaspo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re).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Kraljevo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77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ima srednji udeo zaposlenih (35,88%) u odnosu na analizirane gradove, što je blizu proseka za gradove slične veličine u Srbiji.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Čačak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80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ima najveći udeo zaposlenih u ukupnoj populaciji (37,83%), što ukazuje na relativno stabilnu ekonomiju i visok nivo formalnog zapošljavanja.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  <w:r/>
    </w:p>
    <w:p>
      <w:p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nivo zaposlenosti: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8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značajno niži udeo zaposlenih (18,73%) u poređenju sa Kraljevom (35,88%) i Čačkom (37,83%). Ovo ukazuje na slabiju formalnu ekonomiju u Novom Pazaru.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85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se ističe kao grad sa najvećim udelom zaposlenih, što ukazuje na razvijeniju ekonomsku strukturu.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90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Niži nivo zaposlenosti u Novom Pazaru može biti posledica nižeg stepena urbanizacije, većeg učešća neformalne ekonomije i društvenih normi koje ograničavaju učešće žena na tržištu rada.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91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 Čačak, kao industrijski razvijeniji gradovi, imaju bolje razvijenu ekonomsku osnovu i uravnoteženije tržište rada.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Rodna struktura zaposlenih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Rodna struktura zaposlenih je bitna kao informacija koja može da adresira buduće projekte i aktivnosti koje zajednica treba da preduzme u cilju unapređenja položaja žena i pružanja jednah uslova na tržištu rada.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muškaraca i žena u ukupnom broju zaposlenih je:</w:t>
      </w:r>
      <w:r/>
    </w:p>
    <w:tbl>
      <w:tblPr>
        <w:tblStyle w:val="88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40"/>
        <w:gridCol w:w="2190"/>
        <w:gridCol w:w="153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tabs>
                <w:tab w:val="center" w:pos="555" w:leader="none"/>
              </w:tabs>
              <w:rPr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>
              <w:tab/>
            </w:r>
            <w:r/>
          </w:p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tabs>
                <w:tab w:val="center" w:pos="555" w:leader="none"/>
              </w:tabs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muškaraca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žena (%)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58,55%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41,45%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54,42%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45,58%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52,88%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47,12%</w:t>
            </w:r>
            <w:r/>
          </w:p>
        </w:tc>
      </w:tr>
    </w:tbl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contextualSpacing w:val="0"/>
        <w:jc w:val="center"/>
        <w:spacing w:before="0" w:after="0"/>
        <w:rPr>
          <w:highlight w:val="none"/>
        </w:rPr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684840" cy="2896793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050054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4684839" cy="2896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68.9pt;height:228.1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</w:rPr>
      </w:r>
      <w:r/>
    </w:p>
    <w:p>
      <w:pPr>
        <w:contextualSpacing w:val="0"/>
        <w:jc w:val="both"/>
        <w:spacing w:before="0" w:after="0"/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Novi Pazar</w:t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Novom Pazaru muškarci čine 58,55% zaposlenih, dok žene učestvuju sa 41,45%. Ovo ukazuje na izražen rodni disparitet u zaposlenosti, što može biti posledica tradicionalnih društvenih normi i manjeg učešća žena na tržištu rada.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se suočava sa niskim udelom zaposlenih u ukupnoj populaciji i izraženim rodnim nejednakostima u zaposlenosti, što zahteva mere za unapređenje tržišta rada i podsticanje zapošljavanja žena.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Kraljevo</w:t>
      </w:r>
      <w:r/>
    </w:p>
    <w:p>
      <w:pPr>
        <w:pStyle w:val="1036"/>
        <w:numPr>
          <w:ilvl w:val="0"/>
          <w:numId w:val="5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Kraljevu muškarci čine 54,42% zaposlenih, a žene 45,58%. Rodna razlika je manje izražena nego u Novom Pazaru, što ukazuje na bolje prilike za žene na tržištu rada.</w:t>
      </w:r>
      <w:r/>
    </w:p>
    <w:p>
      <w:pPr>
        <w:contextualSpacing w:val="0"/>
        <w:ind w:left="709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ima solidan nivo zaposlenosti, ali postoji prostor za povećanje učešća žena u ekonomskim aktivnostima i dalji razvoj privrede kako bi se povećao broj zaposlenih.</w:t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Čačak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8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 Čačku je rodna struktura zaposlenih najuravnoteženija među analiziranim gradovima – muškarci čine 52,88%, a žene 47,12%. Ovaj odnos ukazuje na pozitivne trendove u rodnoj ravnopravnosti.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ima najviši nivo zaposlenosti i najuravnoteženiju rodnu strukturu među analiziranim gradovima, što ga čini najboljim primerom za unapređenje tržišta rada u drugim gradovima.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Poređenje trendova među gradovima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nivo zaposlenosti:</w:t>
      </w:r>
      <w:r/>
    </w:p>
    <w:p>
      <w:pPr>
        <w:pStyle w:val="1036"/>
        <w:numPr>
          <w:ilvl w:val="0"/>
          <w:numId w:val="11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značajno niži udeo zaposlenih (18,73%) u poređenju sa Kraljevom (35,88%) i Čačkom (37,83%). Ovo ukazuje na slabiju formalnu ekonomiju u Novom Pazaru.</w:t>
      </w:r>
      <w:r/>
    </w:p>
    <w:p>
      <w:pPr>
        <w:pStyle w:val="1036"/>
        <w:numPr>
          <w:ilvl w:val="0"/>
          <w:numId w:val="1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se ističe kao grad sa najvećim udelom zaposlenih, što ukazuje na razvijeniju ekonomsku strukturu.</w:t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struktura:</w:t>
      </w:r>
      <w:r/>
    </w:p>
    <w:p>
      <w:pPr>
        <w:pStyle w:val="1036"/>
        <w:numPr>
          <w:ilvl w:val="0"/>
          <w:numId w:val="1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Novi Pazar ima najveću rodnu razliku, gde muškarci čine 58,55% zaposlenih, dok je u Čačku rodni jaz najmanji (52,88% muškarci i 47,12% žene).</w:t>
      </w:r>
      <w:r/>
    </w:p>
    <w:p>
      <w:pPr>
        <w:pStyle w:val="1036"/>
        <w:numPr>
          <w:ilvl w:val="0"/>
          <w:numId w:val="15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se nalazi između ova dva grada, sa solidnim udelom žena među zaposlenima (45,58%).</w:t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razlike:</w:t>
      </w:r>
      <w:r/>
    </w:p>
    <w:p>
      <w:pPr>
        <w:pStyle w:val="1036"/>
        <w:numPr>
          <w:ilvl w:val="0"/>
          <w:numId w:val="17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Niži nivo zaposlenosti u Novom Pazaru može biti posledica nižeg stepena urbanizacije, većeg učešća neformalne ekonomije i društvenih normi koje ograničavaju učešće žena na tržištu rada.</w:t>
      </w:r>
      <w:r/>
    </w:p>
    <w:p>
      <w:pPr>
        <w:pStyle w:val="1036"/>
        <w:numPr>
          <w:ilvl w:val="0"/>
          <w:numId w:val="18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Kraljevo i Čačak, kao industrijski razvijeniji gradovi, imaju bolje razvijenu ekonomsku osnovu i uravnoteženije tržište rada.</w:t>
      </w:r>
      <w:r/>
    </w:p>
    <w:p>
      <w:p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Preporuke za unapređenje tržišta rada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Novi Pazar:</w:t>
      </w:r>
      <w:r/>
    </w:p>
    <w:p>
      <w:pPr>
        <w:pStyle w:val="1036"/>
        <w:numPr>
          <w:ilvl w:val="0"/>
          <w:numId w:val="20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zapošljavanja žena: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Kroz programe obuke, subvencije za poslodavce koji zapošljavaju žene i razvoj sektora u kojima žene tradicionalno učestvuju (npr. tekstilna industrija).</w:t>
      </w:r>
      <w:r/>
    </w:p>
    <w:p>
      <w:pPr>
        <w:pStyle w:val="1036"/>
        <w:numPr>
          <w:ilvl w:val="0"/>
          <w:numId w:val="21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Formalizacija rada: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Smanjiti učešće neformalne ekonomije kroz regulaciju tržišta i podsticaje za formalno zapošljavanje.</w:t>
      </w:r>
      <w:r/>
    </w:p>
    <w:p>
      <w:pPr>
        <w:pStyle w:val="1036"/>
        <w:numPr>
          <w:ilvl w:val="0"/>
          <w:numId w:val="2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Privući investicije u sektor proizvodnje i usluga kako bi se povećao ukupan broj zaposlenih.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Kraljevo:</w:t>
      </w:r>
      <w:r/>
    </w:p>
    <w:p>
      <w:pPr>
        <w:pStyle w:val="1036"/>
        <w:numPr>
          <w:ilvl w:val="0"/>
          <w:numId w:val="2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Unapređenje rodne ravnopravnosti: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Povećati učešće žena u tradicionalno muški dominantnim sektorima, kao što su građevina i IT.</w:t>
      </w:r>
      <w:r/>
    </w:p>
    <w:p>
      <w:pPr>
        <w:pStyle w:val="1036"/>
        <w:numPr>
          <w:ilvl w:val="0"/>
          <w:numId w:val="25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malih i srednjih preduzeća: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Podrška preduzetnicima kroz povoljne kredite i subvencije.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Čačak:</w:t>
      </w:r>
      <w:r/>
    </w:p>
    <w:p>
      <w:pPr>
        <w:pStyle w:val="1036"/>
        <w:numPr>
          <w:ilvl w:val="0"/>
          <w:numId w:val="27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Zadržavanje pozitivnih trendova: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Nastaviti s ulaganjima u lokalnu infrastrukturu i obrazovanje kako bi se očuvala visoka stopa zaposlenosti.</w:t>
      </w:r>
      <w:r/>
    </w:p>
    <w:p>
      <w:pPr>
        <w:pStyle w:val="1036"/>
        <w:numPr>
          <w:ilvl w:val="0"/>
          <w:numId w:val="28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Podsticaji za nove investicije: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visokotehnološke industrije koje mogu dodatno unaprediti tržište rada.</w:t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7. Zaključak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Gradovi Novi Pazar, Kraljevo i Čačak pokazuju značajne razlike u nivou zaposlenosti i rodnoj strukturi zaposlenih. Novi Pazar ima najniži udeo zaposlenih i izražen rodni disparitet, što ukazuje na potrebu za većim ulaganjem u ekonomski razvoj i rodnu ravno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pravnost. Kraljevo ima solidan nivo zaposlenosti i manje izražen rodni jaz, dok Čačak prednjači u ukupnom nivou zaposlenosti i rodnoj ravnoteži, što ga čini primerom dobre prakse. Cilj je da se u svim gradovima poveća učešće žena i formalizuje rad, uz isto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vremeno podsticanje lokalnog ekonomskog razvoja.</w:t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Analiza stanovništva koje obavlja delatnost: Tutin, Sjenica, Nova Varoš, Prijepolje, Priboj i Raška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podataka o broju stanovnika i zaposlenih muškaraca, žena i ukupno zaposlenih u opštinama Tutin, Sjenica, Nova Varoš, Prijepolje, Priboj i Raška, prikazana je detaljna analiza učešća zaposlenih u ukupnom stanovništvu, rodna struktura zaposlenih i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međusobno poređenje opština.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Pregled osnovnih podataka</w:t>
      </w:r>
      <w:r/>
    </w:p>
    <w:tbl>
      <w:tblPr>
        <w:tblStyle w:val="88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5"/>
        <w:gridCol w:w="1650"/>
        <w:gridCol w:w="1860"/>
        <w:gridCol w:w="2025"/>
        <w:gridCol w:w="1515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ukupno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muškarci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žene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33.053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4.194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2.811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1.383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24.083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4.922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2.819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2.103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13.507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3.688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2.103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1.585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32.214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8.636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4.829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3.807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23.514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6.396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3.629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2.767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21.498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6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7.109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3.941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1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3.168</w:t>
            </w:r>
            <w:r/>
          </w:p>
        </w:tc>
      </w:tr>
    </w:tbl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Udeo zaposlenih u ukupnom stanovništvu</w:t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 osnov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u podataka Republičkog zavoda za statitiku nije moguće utvrditi broj nezaposlenih niti njihovu strukturu ali je moguće izračunati udeo zaposlenih u ukuPnom broju stanovnika jer je to jasna mera ekonomske aktivnosti i potencijala za stabilan ekonomski rast.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zaposlenih računamo po sledećoj formuli: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zaposlenih (%) = (Broj zaposlenih / Ukupan broj stanovnika)×100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5"/>
        <w:gridCol w:w="2310"/>
        <w:gridCol w:w="2490"/>
        <w:gridCol w:w="198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ukupno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muškarci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Zaposleni žene (%)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12.69%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8.51%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4.18%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20.44%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11.71%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8.73%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27.29%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15.57%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11.73%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26.81%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15.00%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11.81%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27.21%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15.43%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11.77%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1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33.07%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18.34%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8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14.73%</w:t>
            </w:r>
            <w:r/>
          </w:p>
        </w:tc>
      </w:tr>
    </w:tbl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contextualSpacing w:val="0"/>
        <w:jc w:val="center"/>
        <w:spacing w:before="0" w:after="0"/>
        <w:suppressLineNumbers w:val="0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40436" cy="3116669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0490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flipH="0" flipV="0">
                          <a:off x="0" y="0"/>
                          <a:ext cx="5040436" cy="31166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96.9pt;height:245.4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Tutin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9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Tutin ima najniži udeo zaposlenih (12.69%), što ukazuje na nisku formalnu zaposlenost. Veći deo stanovništva verovatno je angažovan u neformalnom sektoru ili zavisi od transfera iz dijaspore.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Sjenica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95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beleži nešto viši udeo zaposlenih (20,44%) u poređenju sa Tutinom, ali je taj procenat i dalje ispod proseka za region.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Nova Varoš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98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ima relativno visok udeo zaposlenih (27,29%), što ukazuje na bolju ekonomsku aktivnost.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Prijepolje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101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ima sličan udeo zaposlenih kao Nova Varoš (26,81%), što ukazuje na razvijeniju ekonomsku osnovu u poređenju sa Tutinom i Sjenicom.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E) Priboj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10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ima relativno visok udeo zaposlenih (27,21%), što ukazuje na dobar nivo formalne zaposlenosti.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F) Raška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1036"/>
        <w:numPr>
          <w:ilvl w:val="0"/>
          <w:numId w:val="107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zaposlenih u ukupnom stanovništvu: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ima najviši udeo zaposlenih (33,07%), što ukazuje na relativno razvijenu lokalnu ekonomiju.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Rodna struktura zaposlenih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Rodna struktura zaposlenih je bitna kao informacija koja može da adresira buduće projekte i aktivnosti koje zajednica treba da preduzme u cilju unapređenja položaja žena i pružanja jednah uslova na tržištu rada.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muškaraca i žena u ukupnom broju zaposlenih je: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tbl>
      <w:tblPr>
        <w:tblStyle w:val="88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5"/>
        <w:gridCol w:w="2190"/>
        <w:gridCol w:w="1530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highlight w:val="none"/>
              </w:rPr>
            </w:r>
            <w:r/>
          </w:p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muškaraca (%)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žena (%)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67.03%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32.97%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57.27%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42.73%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57.06%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42.94%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55.91%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44.09%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56.75%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43.25%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hd w:val="clear" w:color="d9d9d9" w:themeColor="background1" w:themeShade="D9" w:fill="d9d9d9" w:themeFill="background1" w:themeFillShade="D9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55.44%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44.56%</w:t>
            </w:r>
            <w:r/>
          </w:p>
        </w:tc>
      </w:tr>
    </w:tbl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673162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3832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4" cy="3673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8pt;height:289.2pt;mso-wrap-distance-left:0.0pt;mso-wrap-distance-top:0.0pt;mso-wrap-distance-right:0.0pt;mso-wrap-distance-bottom:0.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 w:val="0"/>
        <w:jc w:val="both"/>
        <w:spacing w:before="0" w:after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Tutin</w:t>
      </w:r>
      <w:r/>
    </w:p>
    <w:p>
      <w:pPr>
        <w:pStyle w:val="1036"/>
        <w:numPr>
          <w:ilvl w:val="0"/>
          <w:numId w:val="30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zaposlenih:b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Muškarci čine 67,03% zaposlenih, dok žene čine samo 32,97%. Ovo je najveći rodni disparitet među analiziranim opštinama.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Tutin se suočava sa niskom zaposlenošću i značajnim rodnim nejednakostima, što zahteva ciljane mere za podsticanje ženskog zapošljavanja i formalizaciju rada.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Sjenica</w:t>
      </w:r>
      <w:r/>
    </w:p>
    <w:p>
      <w:pPr>
        <w:pStyle w:val="1036"/>
        <w:numPr>
          <w:ilvl w:val="0"/>
          <w:numId w:val="33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žena u zaposlenosti je 42,73%, što ukazuje na relativno povoljniji položaj žena na tržištu rada u poređenju sa Tutinom.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Sjenica ima potencijal za povećanje zaposlenosti kroz razvoj lokalne ekonomije i unapređenje uslova za rad žena.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Nova Varoš</w:t>
      </w:r>
      <w:r/>
    </w:p>
    <w:p>
      <w:pPr>
        <w:pStyle w:val="1036"/>
        <w:numPr>
          <w:ilvl w:val="0"/>
          <w:numId w:val="36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Žene čine 42,94% zaposlenih, što je znak povoljnije rodne ravnoteže na tržištu rada.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Nova Varoš ima solidan nivo zaposlenosti, ali dodatni napori su potrebni za povećanje učešća žena u ekonomskim aktivnostima.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Prijepolje</w:t>
      </w:r>
      <w:r/>
    </w:p>
    <w:p>
      <w:pPr>
        <w:pStyle w:val="1036"/>
        <w:numPr>
          <w:ilvl w:val="0"/>
          <w:numId w:val="39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Žene čine 44,09% zaposlenih, što je povoljna rodna ravnoteža.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ima solidan nivo zaposlenosti i relativno ravnomernu rodnu strukturu, ali je potrebno dodatno razvijati sektore sa potencijalom za otvaranje novih radnih mesta.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E) Priboj</w:t>
      </w:r>
      <w:r/>
    </w:p>
    <w:p>
      <w:pPr>
        <w:pStyle w:val="1036"/>
        <w:numPr>
          <w:ilvl w:val="0"/>
          <w:numId w:val="4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Udeo žena u zaposlenosti iznosi 43,25%, što je blizu ravnoteže.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Priboj beleži pozitivan trend u zaposlenosti, ali dodatna podrška mladim porodicama i preduzetnicima može podstaći dalji razvoj.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2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F) Raška</w:t>
      </w:r>
      <w:r/>
    </w:p>
    <w:p>
      <w:pPr>
        <w:pStyle w:val="1036"/>
        <w:numPr>
          <w:ilvl w:val="0"/>
          <w:numId w:val="45"/>
        </w:numPr>
        <w:contextualSpacing w:val="0"/>
        <w:ind w:right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zaposlenih: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Žene čine 44,56% zaposlenih, što je znak dobre rodne ravnoteže.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contextualSpacing w:val="0"/>
        <w:ind w:left="709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Raška je primer pozitivnog trenda u zaposlenosti, ali je potrebno nastaviti s razvojem sektora visokog rasta kako bi se dodatno povećala zaposlenost.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Poređenje trendova među opštinama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nivo zaposlenosti:</w:t>
      </w:r>
      <w:r/>
    </w:p>
    <w:p>
      <w:pPr>
        <w:pStyle w:val="1036"/>
        <w:numPr>
          <w:ilvl w:val="0"/>
          <w:numId w:val="48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Najniži udeo zaposlenih beleži Tutin (12,69%), dok je Raška najviša sa 33,07%.</w:t>
      </w:r>
      <w:r/>
    </w:p>
    <w:p>
      <w:pPr>
        <w:pStyle w:val="1036"/>
        <w:numPr>
          <w:ilvl w:val="0"/>
          <w:numId w:val="49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Opštine poput Nove Varoši, Prijepolja i Priboja imaju slične nivoe zaposlenosti (oko 27%), dok Sjenica zaostaje sa 20,44%.</w:t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Rodna struktura zaposlenosti:</w:t>
      </w:r>
      <w:r/>
    </w:p>
    <w:p>
      <w:pPr>
        <w:pStyle w:val="1036"/>
        <w:numPr>
          <w:ilvl w:val="0"/>
          <w:numId w:val="51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Tutin ima najveći rodni disparitet (67,03% muškaraca naspram 32,97% žena).</w:t>
      </w:r>
      <w:r/>
    </w:p>
    <w:p>
      <w:pPr>
        <w:pStyle w:val="1036"/>
        <w:numPr>
          <w:ilvl w:val="0"/>
          <w:numId w:val="5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Raška, Prijepolje i Priboj beleže najbolju rodnu ravnotežu, sa ženama koje čine oko 44% zaposlenih.</w:t>
      </w:r>
      <w:r/>
    </w:p>
    <w:p>
      <w:pPr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razlike:</w:t>
      </w:r>
      <w:r/>
    </w:p>
    <w:p>
      <w:pPr>
        <w:pStyle w:val="1036"/>
        <w:numPr>
          <w:ilvl w:val="0"/>
          <w:numId w:val="5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Opštine sa višim nivoom zaposlenosti (Raška, Priboj, Prijepolje) imaju razvijeniju industrijsku osnovu, dok Tutin i Sjenica zaostaju, verovatno zbog slabije razvijene formalne ekonomije i migracija.</w:t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6. Preporuke za unapređenje tržišta rada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zapošljavanja žena:</w:t>
      </w:r>
      <w:r/>
    </w:p>
    <w:p>
      <w:pPr>
        <w:pStyle w:val="1036"/>
        <w:numPr>
          <w:ilvl w:val="0"/>
          <w:numId w:val="56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Posebno u Tutinu i Sjenici kroz programe subvencija i obuke.</w:t>
      </w:r>
      <w:r/>
    </w:p>
    <w:p>
      <w:pPr>
        <w:pStyle w:val="1036"/>
        <w:numPr>
          <w:ilvl w:val="0"/>
          <w:numId w:val="57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Razvoj sektora gde žene tradicionalno učestvuju, kao što su usluge i zanati.</w:t>
      </w:r>
      <w:r/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/>
    </w:p>
    <w:p>
      <w:pPr>
        <w:pStyle w:val="1036"/>
        <w:numPr>
          <w:ilvl w:val="0"/>
          <w:numId w:val="59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Investicije u industriju i infrastrukturu u opštinama sa nižim nivoom zaposlenosti.</w:t>
      </w:r>
      <w:r/>
    </w:p>
    <w:p>
      <w:pPr>
        <w:pStyle w:val="1036"/>
        <w:numPr>
          <w:ilvl w:val="0"/>
          <w:numId w:val="60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Poticaji za razvoj malih i srednjih preduzeća.</w:t>
      </w:r>
      <w:r/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Formalizacija rada:</w:t>
      </w:r>
      <w:r/>
    </w:p>
    <w:p>
      <w:pPr>
        <w:pStyle w:val="1036"/>
        <w:numPr>
          <w:ilvl w:val="0"/>
          <w:numId w:val="6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Smanjenje neformalne ekonomije kroz poreske olakšice za poslodavce i podsticanje formalnog zapošljavanja.</w:t>
      </w:r>
      <w:r/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preduzetništva:</w:t>
      </w:r>
      <w:r/>
    </w:p>
    <w:p>
      <w:pPr>
        <w:pStyle w:val="1036"/>
        <w:numPr>
          <w:ilvl w:val="0"/>
          <w:numId w:val="64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Kreiranje povoljnih kredita i grantova za mlade preduzetnike.</w:t>
      </w:r>
      <w:r/>
    </w:p>
    <w:p>
      <w:pPr>
        <w:pStyle w:val="1036"/>
        <w:numPr>
          <w:ilvl w:val="0"/>
          <w:numId w:val="65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Promocija povratka stanovništva iz dijaspore uz podršku za otvaranje poslova.</w:t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60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7. Zaključak</w:t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Opštine Tutin, Sjenica, Nova Varoš, Prijepolje, Priboj i Raška pokazuju značajne razlike u nivou zaposlenosti i rodnoj strukturi zaposlenih. Dok Raška beleži najviši nivo zaposlenosti i najbolju rodnu ravnotežu, Tutin i Sjenica se suočavaju sa izazovima u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pogledu niske zaposlenosti i izraženog rodnog dispariteta. Cilj je podsticanje zapošljavanja žena, razvoj lokalnih ekonomija i formalizacija tržišta rada, što može doprineti održivom ekonomskom rastu ovih opština.</w:t>
      </w:r>
      <w:r/>
    </w:p>
    <w:p>
      <w:pPr>
        <w:contextualSpacing w:val="0"/>
        <w:jc w:val="both"/>
        <w:spacing w:before="0" w:after="0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019" w:right="1134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Asana">
    <w:panose1 w:val="02000603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right"/>
    </w:pPr>
    <w:fldSimple w:instr="PAGE \* MERGEFORMAT">
      <w:r>
        <w:t xml:space="preserve">1</w:t>
      </w:r>
    </w:fldSimple>
    <w:r/>
    <w:r/>
  </w:p>
  <w:p>
    <w:pPr>
      <w:pStyle w:val="88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937603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9977260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6">
    <w:name w:val="Heading 1"/>
    <w:basedOn w:val="1032"/>
    <w:next w:val="1032"/>
    <w:link w:val="8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7">
    <w:name w:val="Heading 1 Char"/>
    <w:link w:val="856"/>
    <w:uiPriority w:val="9"/>
    <w:rPr>
      <w:rFonts w:ascii="Arial" w:hAnsi="Arial" w:eastAsia="Arial" w:cs="Arial"/>
      <w:sz w:val="40"/>
      <w:szCs w:val="40"/>
    </w:rPr>
  </w:style>
  <w:style w:type="paragraph" w:styleId="858">
    <w:name w:val="Heading 2"/>
    <w:basedOn w:val="1032"/>
    <w:next w:val="1032"/>
    <w:link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9">
    <w:name w:val="Heading 2 Char"/>
    <w:link w:val="858"/>
    <w:uiPriority w:val="9"/>
    <w:rPr>
      <w:rFonts w:ascii="Arial" w:hAnsi="Arial" w:eastAsia="Arial" w:cs="Arial"/>
      <w:sz w:val="34"/>
    </w:rPr>
  </w:style>
  <w:style w:type="paragraph" w:styleId="860">
    <w:name w:val="Heading 3"/>
    <w:basedOn w:val="1032"/>
    <w:next w:val="1032"/>
    <w:link w:val="8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1">
    <w:name w:val="Heading 3 Char"/>
    <w:link w:val="860"/>
    <w:uiPriority w:val="9"/>
    <w:rPr>
      <w:rFonts w:ascii="Arial" w:hAnsi="Arial" w:eastAsia="Arial" w:cs="Arial"/>
      <w:sz w:val="30"/>
      <w:szCs w:val="30"/>
    </w:rPr>
  </w:style>
  <w:style w:type="paragraph" w:styleId="862">
    <w:name w:val="Heading 4"/>
    <w:basedOn w:val="1032"/>
    <w:next w:val="1032"/>
    <w:link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3">
    <w:name w:val="Heading 4 Char"/>
    <w:link w:val="862"/>
    <w:uiPriority w:val="9"/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1032"/>
    <w:next w:val="1032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5">
    <w:name w:val="Heading 5 Char"/>
    <w:link w:val="864"/>
    <w:uiPriority w:val="9"/>
    <w:rPr>
      <w:rFonts w:ascii="Arial" w:hAnsi="Arial" w:eastAsia="Arial" w:cs="Arial"/>
      <w:b/>
      <w:bCs/>
      <w:sz w:val="24"/>
      <w:szCs w:val="24"/>
    </w:rPr>
  </w:style>
  <w:style w:type="paragraph" w:styleId="866">
    <w:name w:val="Heading 6"/>
    <w:basedOn w:val="1032"/>
    <w:next w:val="1032"/>
    <w:link w:val="8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7">
    <w:name w:val="Heading 6 Char"/>
    <w:link w:val="866"/>
    <w:uiPriority w:val="9"/>
    <w:rPr>
      <w:rFonts w:ascii="Arial" w:hAnsi="Arial" w:eastAsia="Arial" w:cs="Arial"/>
      <w:b/>
      <w:bCs/>
      <w:sz w:val="22"/>
      <w:szCs w:val="22"/>
    </w:rPr>
  </w:style>
  <w:style w:type="paragraph" w:styleId="868">
    <w:name w:val="Heading 7"/>
    <w:basedOn w:val="1032"/>
    <w:next w:val="1032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9">
    <w:name w:val="Heading 7 Char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0">
    <w:name w:val="Heading 8"/>
    <w:basedOn w:val="1032"/>
    <w:next w:val="1032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1">
    <w:name w:val="Heading 8 Char"/>
    <w:link w:val="870"/>
    <w:uiPriority w:val="9"/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1032"/>
    <w:next w:val="1032"/>
    <w:link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>
    <w:name w:val="Heading 9 Char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874">
    <w:name w:val="Title"/>
    <w:basedOn w:val="1032"/>
    <w:next w:val="1032"/>
    <w:link w:val="8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5">
    <w:name w:val="Title Char"/>
    <w:link w:val="874"/>
    <w:uiPriority w:val="10"/>
    <w:rPr>
      <w:sz w:val="48"/>
      <w:szCs w:val="48"/>
    </w:rPr>
  </w:style>
  <w:style w:type="paragraph" w:styleId="876">
    <w:name w:val="Subtitle"/>
    <w:basedOn w:val="1032"/>
    <w:next w:val="1032"/>
    <w:link w:val="877"/>
    <w:uiPriority w:val="11"/>
    <w:qFormat/>
    <w:pPr>
      <w:spacing w:before="200" w:after="200"/>
    </w:pPr>
    <w:rPr>
      <w:sz w:val="24"/>
      <w:szCs w:val="24"/>
    </w:rPr>
  </w:style>
  <w:style w:type="character" w:styleId="877">
    <w:name w:val="Subtitle Char"/>
    <w:link w:val="876"/>
    <w:uiPriority w:val="11"/>
    <w:rPr>
      <w:sz w:val="24"/>
      <w:szCs w:val="24"/>
    </w:rPr>
  </w:style>
  <w:style w:type="paragraph" w:styleId="878">
    <w:name w:val="Quote"/>
    <w:basedOn w:val="1032"/>
    <w:next w:val="1032"/>
    <w:link w:val="879"/>
    <w:uiPriority w:val="29"/>
    <w:qFormat/>
    <w:pPr>
      <w:ind w:left="720" w:right="720"/>
    </w:pPr>
    <w:rPr>
      <w:i/>
    </w:rPr>
  </w:style>
  <w:style w:type="character" w:styleId="879">
    <w:name w:val="Quote Char"/>
    <w:link w:val="878"/>
    <w:uiPriority w:val="29"/>
    <w:rPr>
      <w:i/>
    </w:rPr>
  </w:style>
  <w:style w:type="paragraph" w:styleId="880">
    <w:name w:val="Intense Quote"/>
    <w:basedOn w:val="1032"/>
    <w:next w:val="1032"/>
    <w:link w:val="8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1">
    <w:name w:val="Intense Quote Char"/>
    <w:link w:val="880"/>
    <w:uiPriority w:val="30"/>
    <w:rPr>
      <w:i/>
    </w:rPr>
  </w:style>
  <w:style w:type="paragraph" w:styleId="882">
    <w:name w:val="Header"/>
    <w:basedOn w:val="1032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3">
    <w:name w:val="Header Char"/>
    <w:link w:val="882"/>
    <w:uiPriority w:val="99"/>
  </w:style>
  <w:style w:type="paragraph" w:styleId="884">
    <w:name w:val="Footer"/>
    <w:basedOn w:val="1032"/>
    <w:link w:val="8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5">
    <w:name w:val="Footer Char"/>
    <w:link w:val="884"/>
    <w:uiPriority w:val="99"/>
  </w:style>
  <w:style w:type="paragraph" w:styleId="886">
    <w:name w:val="Caption"/>
    <w:basedOn w:val="1032"/>
    <w:next w:val="10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7">
    <w:name w:val="Caption Char"/>
    <w:basedOn w:val="886"/>
    <w:link w:val="884"/>
    <w:uiPriority w:val="99"/>
  </w:style>
  <w:style w:type="table" w:styleId="888">
    <w:name w:val="Table Grid"/>
    <w:basedOn w:val="10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9">
    <w:name w:val="Table Grid Light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0">
    <w:name w:val="Plain Table 1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1">
    <w:name w:val="Plain Table 2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2">
    <w:name w:val="Plain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3">
    <w:name w:val="Plain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Plain Table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5">
    <w:name w:val="Grid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7">
    <w:name w:val="Grid Table 4 - Accent 1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8">
    <w:name w:val="Grid Table 4 - Accent 2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9">
    <w:name w:val="Grid Table 4 - Accent 3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0">
    <w:name w:val="Grid Table 4 - Accent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1">
    <w:name w:val="Grid Table 4 - Accent 5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2">
    <w:name w:val="Grid Table 4 - Accent 6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3">
    <w:name w:val="Grid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27">
    <w:name w:val="Grid Table 5 Dark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29">
    <w:name w:val="Grid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30">
    <w:name w:val="Grid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1">
    <w:name w:val="Grid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2">
    <w:name w:val="Grid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3">
    <w:name w:val="Grid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4">
    <w:name w:val="Grid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5">
    <w:name w:val="Grid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6">
    <w:name w:val="Grid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7">
    <w:name w:val="Grid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2">
    <w:name w:val="List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3">
    <w:name w:val="List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4">
    <w:name w:val="List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5">
    <w:name w:val="List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6">
    <w:name w:val="List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7">
    <w:name w:val="List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8">
    <w:name w:val="List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0">
    <w:name w:val="List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1">
    <w:name w:val="List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2">
    <w:name w:val="List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3">
    <w:name w:val="List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4">
    <w:name w:val="List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5">
    <w:name w:val="List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6">
    <w:name w:val="List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7">
    <w:name w:val="List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8">
    <w:name w:val="List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9">
    <w:name w:val="List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90">
    <w:name w:val="List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91">
    <w:name w:val="List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92">
    <w:name w:val="List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3">
    <w:name w:val="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5">
    <w:name w:val="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6">
    <w:name w:val="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7">
    <w:name w:val="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8">
    <w:name w:val="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9">
    <w:name w:val="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0">
    <w:name w:val="Bordered &amp; 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Bordered &amp; 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2">
    <w:name w:val="Bordered &amp; 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3">
    <w:name w:val="Bordered &amp; 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4">
    <w:name w:val="Bordered &amp; 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5">
    <w:name w:val="Bordered &amp; 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6">
    <w:name w:val="Bordered &amp; 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7">
    <w:name w:val="Bordered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8">
    <w:name w:val="Bordered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9">
    <w:name w:val="Bordered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0">
    <w:name w:val="Bordered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1">
    <w:name w:val="Bordered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2">
    <w:name w:val="Bordered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3">
    <w:name w:val="Bordered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4">
    <w:name w:val="Hyperlink"/>
    <w:uiPriority w:val="99"/>
    <w:unhideWhenUsed/>
    <w:rPr>
      <w:color w:val="0000ff" w:themeColor="hyperlink"/>
      <w:u w:val="single"/>
    </w:rPr>
  </w:style>
  <w:style w:type="paragraph" w:styleId="1015">
    <w:name w:val="footnote text"/>
    <w:basedOn w:val="1032"/>
    <w:link w:val="1016"/>
    <w:uiPriority w:val="99"/>
    <w:semiHidden/>
    <w:unhideWhenUsed/>
    <w:pPr>
      <w:spacing w:after="40" w:line="240" w:lineRule="auto"/>
    </w:pPr>
    <w:rPr>
      <w:sz w:val="18"/>
    </w:rPr>
  </w:style>
  <w:style w:type="character" w:styleId="1016">
    <w:name w:val="Footnote Text Char"/>
    <w:link w:val="1015"/>
    <w:uiPriority w:val="99"/>
    <w:rPr>
      <w:sz w:val="18"/>
    </w:rPr>
  </w:style>
  <w:style w:type="character" w:styleId="1017">
    <w:name w:val="footnote reference"/>
    <w:uiPriority w:val="99"/>
    <w:unhideWhenUsed/>
    <w:rPr>
      <w:vertAlign w:val="superscript"/>
    </w:rPr>
  </w:style>
  <w:style w:type="paragraph" w:styleId="1018">
    <w:name w:val="endnote text"/>
    <w:basedOn w:val="1032"/>
    <w:link w:val="1019"/>
    <w:uiPriority w:val="99"/>
    <w:semiHidden/>
    <w:unhideWhenUsed/>
    <w:pPr>
      <w:spacing w:after="0" w:line="240" w:lineRule="auto"/>
    </w:pPr>
    <w:rPr>
      <w:sz w:val="20"/>
    </w:rPr>
  </w:style>
  <w:style w:type="character" w:styleId="1019">
    <w:name w:val="Endnote Text Char"/>
    <w:link w:val="1018"/>
    <w:uiPriority w:val="99"/>
    <w:rPr>
      <w:sz w:val="20"/>
    </w:rPr>
  </w:style>
  <w:style w:type="character" w:styleId="1020">
    <w:name w:val="endnote reference"/>
    <w:uiPriority w:val="99"/>
    <w:semiHidden/>
    <w:unhideWhenUsed/>
    <w:rPr>
      <w:vertAlign w:val="superscript"/>
    </w:rPr>
  </w:style>
  <w:style w:type="paragraph" w:styleId="1021">
    <w:name w:val="toc 1"/>
    <w:basedOn w:val="1032"/>
    <w:next w:val="1032"/>
    <w:uiPriority w:val="39"/>
    <w:unhideWhenUsed/>
    <w:pPr>
      <w:ind w:left="0" w:right="0" w:firstLine="0"/>
      <w:spacing w:after="57"/>
    </w:pPr>
  </w:style>
  <w:style w:type="paragraph" w:styleId="1022">
    <w:name w:val="toc 2"/>
    <w:basedOn w:val="1032"/>
    <w:next w:val="1032"/>
    <w:uiPriority w:val="39"/>
    <w:unhideWhenUsed/>
    <w:pPr>
      <w:ind w:left="283" w:right="0" w:firstLine="0"/>
      <w:spacing w:after="57"/>
    </w:pPr>
  </w:style>
  <w:style w:type="paragraph" w:styleId="1023">
    <w:name w:val="toc 3"/>
    <w:basedOn w:val="1032"/>
    <w:next w:val="1032"/>
    <w:uiPriority w:val="39"/>
    <w:unhideWhenUsed/>
    <w:pPr>
      <w:ind w:left="567" w:right="0" w:firstLine="0"/>
      <w:spacing w:after="57"/>
    </w:pPr>
  </w:style>
  <w:style w:type="paragraph" w:styleId="1024">
    <w:name w:val="toc 4"/>
    <w:basedOn w:val="1032"/>
    <w:next w:val="1032"/>
    <w:uiPriority w:val="39"/>
    <w:unhideWhenUsed/>
    <w:pPr>
      <w:ind w:left="850" w:right="0" w:firstLine="0"/>
      <w:spacing w:after="57"/>
    </w:pPr>
  </w:style>
  <w:style w:type="paragraph" w:styleId="1025">
    <w:name w:val="toc 5"/>
    <w:basedOn w:val="1032"/>
    <w:next w:val="1032"/>
    <w:uiPriority w:val="39"/>
    <w:unhideWhenUsed/>
    <w:pPr>
      <w:ind w:left="1134" w:right="0" w:firstLine="0"/>
      <w:spacing w:after="57"/>
    </w:pPr>
  </w:style>
  <w:style w:type="paragraph" w:styleId="1026">
    <w:name w:val="toc 6"/>
    <w:basedOn w:val="1032"/>
    <w:next w:val="1032"/>
    <w:uiPriority w:val="39"/>
    <w:unhideWhenUsed/>
    <w:pPr>
      <w:ind w:left="1417" w:right="0" w:firstLine="0"/>
      <w:spacing w:after="57"/>
    </w:pPr>
  </w:style>
  <w:style w:type="paragraph" w:styleId="1027">
    <w:name w:val="toc 7"/>
    <w:basedOn w:val="1032"/>
    <w:next w:val="1032"/>
    <w:uiPriority w:val="39"/>
    <w:unhideWhenUsed/>
    <w:pPr>
      <w:ind w:left="1701" w:right="0" w:firstLine="0"/>
      <w:spacing w:after="57"/>
    </w:pPr>
  </w:style>
  <w:style w:type="paragraph" w:styleId="1028">
    <w:name w:val="toc 8"/>
    <w:basedOn w:val="1032"/>
    <w:next w:val="1032"/>
    <w:uiPriority w:val="39"/>
    <w:unhideWhenUsed/>
    <w:pPr>
      <w:ind w:left="1984" w:right="0" w:firstLine="0"/>
      <w:spacing w:after="57"/>
    </w:pPr>
  </w:style>
  <w:style w:type="paragraph" w:styleId="1029">
    <w:name w:val="toc 9"/>
    <w:basedOn w:val="1032"/>
    <w:next w:val="1032"/>
    <w:uiPriority w:val="39"/>
    <w:unhideWhenUsed/>
    <w:pPr>
      <w:ind w:left="2268" w:right="0" w:firstLine="0"/>
      <w:spacing w:after="57"/>
    </w:pPr>
  </w:style>
  <w:style w:type="paragraph" w:styleId="1030">
    <w:name w:val="TOC Heading"/>
    <w:uiPriority w:val="39"/>
    <w:unhideWhenUsed/>
  </w:style>
  <w:style w:type="paragraph" w:styleId="1031">
    <w:name w:val="table of figures"/>
    <w:basedOn w:val="1032"/>
    <w:next w:val="1032"/>
    <w:uiPriority w:val="99"/>
    <w:unhideWhenUsed/>
    <w:pPr>
      <w:spacing w:after="0" w:afterAutospacing="0"/>
    </w:pPr>
  </w:style>
  <w:style w:type="paragraph" w:styleId="1032" w:default="1">
    <w:name w:val="Normal"/>
    <w:qFormat/>
  </w:style>
  <w:style w:type="table" w:styleId="10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4" w:default="1">
    <w:name w:val="No List"/>
    <w:uiPriority w:val="99"/>
    <w:semiHidden/>
    <w:unhideWhenUsed/>
  </w:style>
  <w:style w:type="paragraph" w:styleId="1035">
    <w:name w:val="No Spacing"/>
    <w:basedOn w:val="1032"/>
    <w:uiPriority w:val="1"/>
    <w:qFormat/>
    <w:pPr>
      <w:spacing w:after="0" w:line="240" w:lineRule="auto"/>
    </w:pPr>
  </w:style>
  <w:style w:type="paragraph" w:styleId="1036">
    <w:name w:val="List Paragraph"/>
    <w:basedOn w:val="1032"/>
    <w:uiPriority w:val="34"/>
    <w:qFormat/>
    <w:pPr>
      <w:contextualSpacing/>
      <w:ind w:left="720"/>
    </w:pPr>
  </w:style>
  <w:style w:type="character" w:styleId="10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popis2022.stat.gov.rs/sr-Latn/popisni-podaci-eksel-tabele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2025-01-02T12:06:33Z</dcterms:modified>
</cp:coreProperties>
</file>